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1" w:rsidRPr="003537AF" w:rsidRDefault="00C21E11" w:rsidP="002B11CB">
      <w:pPr>
        <w:jc w:val="center"/>
        <w:rPr>
          <w:rFonts w:cs="Tahoma"/>
          <w:b/>
          <w:color w:val="595959" w:themeColor="text1" w:themeTint="A6"/>
          <w:sz w:val="28"/>
          <w:szCs w:val="28"/>
        </w:rPr>
      </w:pPr>
      <w:r w:rsidRPr="003537AF">
        <w:rPr>
          <w:rFonts w:cs="Tahoma"/>
          <w:b/>
          <w:color w:val="595959" w:themeColor="text1" w:themeTint="A6"/>
          <w:sz w:val="28"/>
          <w:szCs w:val="28"/>
        </w:rPr>
        <w:t>SCRIPT</w:t>
      </w:r>
    </w:p>
    <w:p w:rsidR="00C21E11" w:rsidRPr="00BE64C0" w:rsidRDefault="00C21E11" w:rsidP="002B11CB">
      <w:pPr>
        <w:jc w:val="center"/>
        <w:rPr>
          <w:rFonts w:cs="Tahoma"/>
          <w:b/>
          <w:i/>
          <w:color w:val="595959" w:themeColor="text1" w:themeTint="A6"/>
          <w:sz w:val="32"/>
          <w:szCs w:val="24"/>
        </w:rPr>
      </w:pPr>
      <w:r w:rsidRPr="00BE64C0">
        <w:rPr>
          <w:rFonts w:cs="Tahoma"/>
          <w:b/>
          <w:i/>
          <w:color w:val="595959" w:themeColor="text1" w:themeTint="A6"/>
          <w:sz w:val="32"/>
          <w:szCs w:val="24"/>
        </w:rPr>
        <w:t>Os gémeos M e I</w:t>
      </w:r>
    </w:p>
    <w:p w:rsidR="00C21E11" w:rsidRPr="003537AF" w:rsidRDefault="00C21E11" w:rsidP="002B11CB">
      <w:pPr>
        <w:jc w:val="center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 xml:space="preserve">Por </w:t>
      </w:r>
      <w:proofErr w:type="spellStart"/>
      <w:r w:rsidRPr="003537AF">
        <w:rPr>
          <w:rFonts w:cs="Tahoma"/>
          <w:color w:val="595959" w:themeColor="text1" w:themeTint="A6"/>
        </w:rPr>
        <w:t>Nathalie</w:t>
      </w:r>
      <w:proofErr w:type="spellEnd"/>
      <w:r w:rsidRPr="003537AF">
        <w:rPr>
          <w:rFonts w:cs="Tahoma"/>
          <w:color w:val="595959" w:themeColor="text1" w:themeTint="A6"/>
        </w:rPr>
        <w:t xml:space="preserve"> </w:t>
      </w:r>
      <w:proofErr w:type="spellStart"/>
      <w:r w:rsidRPr="003537AF">
        <w:rPr>
          <w:rFonts w:cs="Tahoma"/>
          <w:color w:val="595959" w:themeColor="text1" w:themeTint="A6"/>
        </w:rPr>
        <w:t>Ferret</w:t>
      </w:r>
      <w:proofErr w:type="spellEnd"/>
    </w:p>
    <w:p w:rsidR="00C21E11" w:rsidRPr="003537AF" w:rsidRDefault="00C21E11" w:rsidP="002B11CB">
      <w:pPr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 xml:space="preserve">O guião que se apresenta imagina-se/coloca-se em situação de formação presencial e/ou a distância. Tem como público-alvo: professores, formadores e gestores de formação dos níveis de ensino secundário e/ou superior e como pano de fundo: a sensibilização para o desenvolvimento de competências interculturais em contexto educativo/formativo. </w:t>
      </w:r>
    </w:p>
    <w:p w:rsidR="002B11CB" w:rsidRPr="003537AF" w:rsidRDefault="00C21E11" w:rsidP="002B11CB">
      <w:pPr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>Enquadra</w:t>
      </w:r>
      <w:r w:rsidR="009D42B7">
        <w:rPr>
          <w:rFonts w:cs="Tahoma"/>
          <w:color w:val="595959" w:themeColor="text1" w:themeTint="A6"/>
        </w:rPr>
        <w:t>r</w:t>
      </w:r>
      <w:r w:rsidRPr="003537AF">
        <w:rPr>
          <w:rFonts w:cs="Tahoma"/>
          <w:color w:val="595959" w:themeColor="text1" w:themeTint="A6"/>
        </w:rPr>
        <w:t>-se</w:t>
      </w:r>
      <w:r w:rsidR="009D42B7">
        <w:rPr>
          <w:rFonts w:cs="Tahoma"/>
          <w:color w:val="595959" w:themeColor="text1" w:themeTint="A6"/>
        </w:rPr>
        <w:t>-ia</w:t>
      </w:r>
      <w:r w:rsidRPr="003537AF">
        <w:rPr>
          <w:rFonts w:cs="Tahoma"/>
          <w:color w:val="595959" w:themeColor="text1" w:themeTint="A6"/>
        </w:rPr>
        <w:t xml:space="preserve"> num hipotético módulo </w:t>
      </w:r>
      <w:r w:rsidR="009D42B7">
        <w:rPr>
          <w:rFonts w:cs="Tahoma"/>
          <w:color w:val="595959" w:themeColor="text1" w:themeTint="A6"/>
        </w:rPr>
        <w:t>cujos objetivos seriam:</w:t>
      </w:r>
      <w:r w:rsidRPr="003537AF">
        <w:rPr>
          <w:rFonts w:cs="Tahoma"/>
          <w:color w:val="595959" w:themeColor="text1" w:themeTint="A6"/>
        </w:rPr>
        <w:t xml:space="preserve"> propor a reflexão sobre a confusão comum existente entre os conceitos de multiculturalismo e interculturalidade e provocar a discussão sobre as respetivas diferenças de postura e efeitos em contexto de ensino/formação-aprendizagem.</w:t>
      </w:r>
    </w:p>
    <w:p w:rsidR="002B11CB" w:rsidRPr="003537AF" w:rsidRDefault="002B11CB" w:rsidP="002B11CB">
      <w:pPr>
        <w:jc w:val="center"/>
        <w:rPr>
          <w:rFonts w:cs="Tahoma"/>
          <w:color w:val="595959" w:themeColor="text1" w:themeTint="A6"/>
        </w:rPr>
      </w:pPr>
      <w:r w:rsidRPr="003537AF">
        <w:rPr>
          <w:rFonts w:cs="Tahoma"/>
          <w:b/>
          <w:color w:val="595959" w:themeColor="text1" w:themeTint="A6"/>
          <w:sz w:val="24"/>
          <w:szCs w:val="24"/>
        </w:rPr>
        <w:t>…</w:t>
      </w:r>
    </w:p>
    <w:p w:rsidR="00C21E11" w:rsidRPr="003537AF" w:rsidRDefault="00C21E11" w:rsidP="002B11CB">
      <w:pPr>
        <w:jc w:val="center"/>
        <w:rPr>
          <w:rFonts w:cs="Tahoma"/>
          <w:b/>
          <w:color w:val="595959" w:themeColor="text1" w:themeTint="A6"/>
        </w:rPr>
      </w:pPr>
      <w:r w:rsidRPr="003537AF">
        <w:rPr>
          <w:rFonts w:cs="Tahoma"/>
          <w:b/>
          <w:color w:val="595959" w:themeColor="text1" w:themeTint="A6"/>
        </w:rPr>
        <w:t>Slide/Cena 1</w:t>
      </w:r>
    </w:p>
    <w:p w:rsidR="00C21E11" w:rsidRPr="003537AF" w:rsidRDefault="00C21E11" w:rsidP="002B11CB">
      <w:pPr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 xml:space="preserve">Apresentam-se (utilizando talvez uma árvore “genealógica” dando a conhecer os diferentes parentes) os gémeos Multiculturalismo e Interculturalismo (mais conhecido por Interculturalidade): e “M” e “I” </w:t>
      </w:r>
      <w:proofErr w:type="gramStart"/>
      <w:r w:rsidRPr="003537AF">
        <w:rPr>
          <w:rFonts w:cs="Tahoma"/>
          <w:color w:val="595959" w:themeColor="text1" w:themeTint="A6"/>
        </w:rPr>
        <w:t>para</w:t>
      </w:r>
      <w:proofErr w:type="gramEnd"/>
      <w:r w:rsidRPr="003537AF">
        <w:rPr>
          <w:rFonts w:cs="Tahoma"/>
          <w:color w:val="595959" w:themeColor="text1" w:themeTint="A6"/>
        </w:rPr>
        <w:t xml:space="preserve"> os amigos. </w:t>
      </w:r>
    </w:p>
    <w:p w:rsidR="00C21E11" w:rsidRPr="003537AF" w:rsidRDefault="00C21E11" w:rsidP="002B11CB">
      <w:pPr>
        <w:jc w:val="center"/>
        <w:rPr>
          <w:rFonts w:cs="Tahoma"/>
          <w:b/>
          <w:i/>
          <w:color w:val="595959" w:themeColor="text1" w:themeTint="A6"/>
        </w:rPr>
      </w:pPr>
      <w:r w:rsidRPr="003537AF">
        <w:rPr>
          <w:rFonts w:cs="Tahoma"/>
          <w:b/>
          <w:i/>
          <w:color w:val="595959" w:themeColor="text1" w:themeTint="A6"/>
        </w:rPr>
        <w:t>Slide/Cena 2</w:t>
      </w:r>
    </w:p>
    <w:p w:rsidR="00C21E11" w:rsidRPr="003537AF" w:rsidRDefault="00C21E11" w:rsidP="002B11CB">
      <w:pPr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 xml:space="preserve">A ação decorre numa sala de professores, numa escola onde ambos são professores. À primeira vista, são tão parecidos que todos os colegas ainda os confundem. O que não lhes agrada muito pois sentem-se e sabem que são diferentes, que têm traços diferentes. </w:t>
      </w:r>
    </w:p>
    <w:p w:rsidR="00C21E11" w:rsidRPr="003537AF" w:rsidRDefault="00C21E11" w:rsidP="002B11CB">
      <w:pPr>
        <w:jc w:val="center"/>
        <w:rPr>
          <w:rFonts w:cs="Tahoma"/>
          <w:b/>
          <w:i/>
          <w:color w:val="595959" w:themeColor="text1" w:themeTint="A6"/>
        </w:rPr>
      </w:pPr>
      <w:r w:rsidRPr="003537AF">
        <w:rPr>
          <w:rFonts w:cs="Tahoma"/>
          <w:b/>
          <w:i/>
          <w:color w:val="595959" w:themeColor="text1" w:themeTint="A6"/>
        </w:rPr>
        <w:t>Slide/Cena 3</w:t>
      </w:r>
    </w:p>
    <w:p w:rsidR="002B11CB" w:rsidRPr="003537AF" w:rsidRDefault="00C21E11" w:rsidP="002B11CB">
      <w:pPr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>Na mesma sala</w:t>
      </w:r>
      <w:r w:rsidR="009D42B7">
        <w:rPr>
          <w:rFonts w:cs="Tahoma"/>
          <w:color w:val="595959" w:themeColor="text1" w:themeTint="A6"/>
        </w:rPr>
        <w:t xml:space="preserve"> (como fundo-esbatida),</w:t>
      </w:r>
      <w:r w:rsidRPr="003537AF">
        <w:rPr>
          <w:rFonts w:cs="Tahoma"/>
          <w:color w:val="595959" w:themeColor="text1" w:themeTint="A6"/>
        </w:rPr>
        <w:t xml:space="preserve"> os gémeos, lado a lado, mostram como se podem distinguir (com definições dadas por quem os “conhece melhor”) um do outro.</w:t>
      </w:r>
    </w:p>
    <w:p w:rsidR="00C21E11" w:rsidRPr="003537AF" w:rsidRDefault="00C21E11" w:rsidP="002B11CB">
      <w:pPr>
        <w:jc w:val="center"/>
        <w:rPr>
          <w:rFonts w:cs="Tahoma"/>
          <w:b/>
          <w:i/>
          <w:color w:val="595959" w:themeColor="text1" w:themeTint="A6"/>
        </w:rPr>
      </w:pPr>
      <w:r w:rsidRPr="003537AF">
        <w:rPr>
          <w:rFonts w:cs="Tahoma"/>
          <w:b/>
          <w:i/>
          <w:color w:val="595959" w:themeColor="text1" w:themeTint="A6"/>
        </w:rPr>
        <w:t>Slide/Cena 4</w:t>
      </w:r>
    </w:p>
    <w:p w:rsidR="009D42B7" w:rsidRDefault="00C21E11" w:rsidP="009D42B7">
      <w:pPr>
        <w:spacing w:after="0"/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>Última cena da narrativa</w:t>
      </w:r>
      <w:r w:rsidR="009D42B7">
        <w:rPr>
          <w:rFonts w:cs="Tahoma"/>
          <w:color w:val="595959" w:themeColor="text1" w:themeTint="A6"/>
        </w:rPr>
        <w:t xml:space="preserve"> mas em estilo </w:t>
      </w:r>
      <w:proofErr w:type="gramStart"/>
      <w:r w:rsidR="009D42B7" w:rsidRPr="009D42B7">
        <w:rPr>
          <w:rFonts w:cs="Tahoma"/>
          <w:i/>
          <w:color w:val="595959" w:themeColor="text1" w:themeTint="A6"/>
        </w:rPr>
        <w:t>open</w:t>
      </w:r>
      <w:proofErr w:type="gramEnd"/>
      <w:r w:rsidR="009D42B7" w:rsidRPr="009D42B7">
        <w:rPr>
          <w:rFonts w:cs="Tahoma"/>
          <w:i/>
          <w:color w:val="595959" w:themeColor="text1" w:themeTint="A6"/>
        </w:rPr>
        <w:t xml:space="preserve"> </w:t>
      </w:r>
      <w:proofErr w:type="spellStart"/>
      <w:r w:rsidR="009D42B7" w:rsidRPr="009D42B7">
        <w:rPr>
          <w:rFonts w:cs="Tahoma"/>
          <w:i/>
          <w:color w:val="595959" w:themeColor="text1" w:themeTint="A6"/>
        </w:rPr>
        <w:t>ended</w:t>
      </w:r>
      <w:proofErr w:type="spellEnd"/>
      <w:r w:rsidR="009D42B7">
        <w:rPr>
          <w:rFonts w:cs="Tahoma"/>
          <w:color w:val="595959" w:themeColor="text1" w:themeTint="A6"/>
        </w:rPr>
        <w:t>.</w:t>
      </w:r>
      <w:r w:rsidRPr="003537AF">
        <w:rPr>
          <w:rFonts w:cs="Tahoma"/>
          <w:color w:val="595959" w:themeColor="text1" w:themeTint="A6"/>
        </w:rPr>
        <w:t xml:space="preserve"> </w:t>
      </w:r>
    </w:p>
    <w:p w:rsidR="00C21E11" w:rsidRPr="003537AF" w:rsidRDefault="00ED1E98" w:rsidP="009D42B7">
      <w:pPr>
        <w:spacing w:after="0"/>
        <w:jc w:val="both"/>
        <w:rPr>
          <w:rFonts w:cs="Tahoma"/>
          <w:color w:val="595959" w:themeColor="text1" w:themeTint="A6"/>
        </w:rPr>
      </w:pPr>
      <w:r w:rsidRPr="003537AF">
        <w:rPr>
          <w:rFonts w:cs="Tahoma"/>
          <w:color w:val="595959" w:themeColor="text1" w:themeTint="A6"/>
        </w:rPr>
        <w:t>Em primeiro plano, três personagens: M e I e u</w:t>
      </w:r>
      <w:r w:rsidR="00C21E11" w:rsidRPr="003537AF">
        <w:rPr>
          <w:rFonts w:cs="Tahoma"/>
          <w:color w:val="595959" w:themeColor="text1" w:themeTint="A6"/>
        </w:rPr>
        <w:t>ma professora</w:t>
      </w:r>
      <w:r w:rsidR="009D42B7">
        <w:rPr>
          <w:rFonts w:cs="Tahoma"/>
          <w:color w:val="595959" w:themeColor="text1" w:themeTint="A6"/>
        </w:rPr>
        <w:t>,</w:t>
      </w:r>
      <w:r w:rsidR="00C21E11" w:rsidRPr="003537AF">
        <w:rPr>
          <w:rFonts w:cs="Tahoma"/>
          <w:color w:val="595959" w:themeColor="text1" w:themeTint="A6"/>
        </w:rPr>
        <w:t xml:space="preserve"> </w:t>
      </w:r>
      <w:r w:rsidR="002B11CB" w:rsidRPr="003537AF">
        <w:rPr>
          <w:rFonts w:cs="Tahoma"/>
          <w:color w:val="595959" w:themeColor="text1" w:themeTint="A6"/>
        </w:rPr>
        <w:t xml:space="preserve">que </w:t>
      </w:r>
      <w:r w:rsidR="009D42B7">
        <w:rPr>
          <w:rFonts w:cs="Tahoma"/>
          <w:color w:val="595959" w:themeColor="text1" w:themeTint="A6"/>
        </w:rPr>
        <w:t>afirma e questiona</w:t>
      </w:r>
      <w:r w:rsidRPr="003537AF">
        <w:rPr>
          <w:rFonts w:cs="Tahoma"/>
          <w:color w:val="595959" w:themeColor="text1" w:themeTint="A6"/>
        </w:rPr>
        <w:t>: com as vossas explicações já dá para vos diferenciar mas…agora fiquei curiosa! Como é que cada um gere e comunica com os alunos d</w:t>
      </w:r>
      <w:r w:rsidR="003537AF" w:rsidRPr="003537AF">
        <w:rPr>
          <w:rFonts w:cs="Tahoma"/>
          <w:color w:val="595959" w:themeColor="text1" w:themeTint="A6"/>
        </w:rPr>
        <w:t>a</w:t>
      </w:r>
      <w:r w:rsidRPr="003537AF">
        <w:rPr>
          <w:rFonts w:cs="Tahoma"/>
          <w:color w:val="595959" w:themeColor="text1" w:themeTint="A6"/>
        </w:rPr>
        <w:t xml:space="preserve"> turma D (Diversidade)</w:t>
      </w:r>
      <w:r w:rsidR="002B11CB" w:rsidRPr="003537AF">
        <w:rPr>
          <w:rFonts w:cs="Tahoma"/>
          <w:color w:val="595959" w:themeColor="text1" w:themeTint="A6"/>
        </w:rPr>
        <w:t>? É</w:t>
      </w:r>
      <w:r w:rsidRPr="003537AF">
        <w:rPr>
          <w:rFonts w:cs="Tahoma"/>
          <w:color w:val="595959" w:themeColor="text1" w:themeTint="A6"/>
        </w:rPr>
        <w:t xml:space="preserve"> tão difícil</w:t>
      </w:r>
      <w:r w:rsidR="002B11CB" w:rsidRPr="003537AF">
        <w:rPr>
          <w:rFonts w:cs="Tahoma"/>
          <w:color w:val="595959" w:themeColor="text1" w:themeTint="A6"/>
        </w:rPr>
        <w:t>! Qual a vossa postura?</w:t>
      </w:r>
      <w:r w:rsidRPr="003537AF">
        <w:rPr>
          <w:rFonts w:cs="Tahoma"/>
          <w:color w:val="595959" w:themeColor="text1" w:themeTint="A6"/>
        </w:rPr>
        <w:t xml:space="preserve"> Quais são as vossas </w:t>
      </w:r>
      <w:proofErr w:type="gramStart"/>
      <w:r w:rsidRPr="003537AF">
        <w:rPr>
          <w:rFonts w:cs="Tahoma"/>
          <w:color w:val="595959" w:themeColor="text1" w:themeTint="A6"/>
        </w:rPr>
        <w:t>estratégias?...</w:t>
      </w:r>
      <w:proofErr w:type="gramEnd"/>
    </w:p>
    <w:p w:rsidR="00ED1E98" w:rsidRPr="003537AF" w:rsidRDefault="002B11CB" w:rsidP="003537AF">
      <w:pPr>
        <w:jc w:val="center"/>
        <w:rPr>
          <w:rFonts w:cs="Tahoma"/>
          <w:b/>
          <w:color w:val="595959" w:themeColor="text1" w:themeTint="A6"/>
          <w:sz w:val="24"/>
          <w:szCs w:val="24"/>
        </w:rPr>
      </w:pPr>
      <w:r w:rsidRPr="003537AF">
        <w:rPr>
          <w:rFonts w:cs="Tahoma"/>
          <w:b/>
          <w:color w:val="595959" w:themeColor="text1" w:themeTint="A6"/>
          <w:sz w:val="24"/>
          <w:szCs w:val="24"/>
        </w:rPr>
        <w:t>…</w:t>
      </w:r>
    </w:p>
    <w:p w:rsidR="00E86310" w:rsidRPr="003537AF" w:rsidRDefault="00C21E11" w:rsidP="002B11CB">
      <w:pPr>
        <w:jc w:val="both"/>
        <w:rPr>
          <w:rFonts w:cs="Tahoma"/>
          <w:color w:val="595959" w:themeColor="text1" w:themeTint="A6"/>
          <w:sz w:val="20"/>
          <w:szCs w:val="20"/>
        </w:rPr>
      </w:pPr>
      <w:r w:rsidRPr="003537AF">
        <w:rPr>
          <w:rFonts w:cs="Tahoma"/>
          <w:color w:val="595959" w:themeColor="text1" w:themeTint="A6"/>
          <w:sz w:val="20"/>
          <w:szCs w:val="20"/>
        </w:rPr>
        <w:t xml:space="preserve">Notas: primeiro, </w:t>
      </w:r>
      <w:r w:rsidR="002B11CB" w:rsidRPr="003537AF">
        <w:rPr>
          <w:rFonts w:cs="Tahoma"/>
          <w:color w:val="595959" w:themeColor="text1" w:themeTint="A6"/>
          <w:sz w:val="20"/>
          <w:szCs w:val="20"/>
        </w:rPr>
        <w:t>uma</w:t>
      </w:r>
      <w:r w:rsidRPr="003537AF">
        <w:rPr>
          <w:rFonts w:cs="Tahoma"/>
          <w:color w:val="595959" w:themeColor="text1" w:themeTint="A6"/>
          <w:sz w:val="20"/>
          <w:szCs w:val="20"/>
        </w:rPr>
        <w:t xml:space="preserve"> preocupação: dado o público-alvo e o formato da narrativa – quase de banda desenhada -, não “infantilizar” o desenho das personagens nem o cenário; </w:t>
      </w:r>
      <w:r w:rsidR="003537AF" w:rsidRPr="003537AF">
        <w:rPr>
          <w:rFonts w:cs="Tahoma"/>
          <w:color w:val="595959" w:themeColor="text1" w:themeTint="A6"/>
          <w:sz w:val="20"/>
          <w:szCs w:val="20"/>
        </w:rPr>
        <w:t xml:space="preserve">em </w:t>
      </w:r>
      <w:r w:rsidRPr="003537AF">
        <w:rPr>
          <w:rFonts w:cs="Tahoma"/>
          <w:color w:val="595959" w:themeColor="text1" w:themeTint="A6"/>
          <w:sz w:val="20"/>
          <w:szCs w:val="20"/>
        </w:rPr>
        <w:t xml:space="preserve">segundo, uma condicionante: </w:t>
      </w:r>
      <w:proofErr w:type="gramStart"/>
      <w:r w:rsidRPr="003537AF">
        <w:rPr>
          <w:rFonts w:cs="Tahoma"/>
          <w:color w:val="595959" w:themeColor="text1" w:themeTint="A6"/>
          <w:sz w:val="20"/>
          <w:szCs w:val="20"/>
        </w:rPr>
        <w:t>a(s</w:t>
      </w:r>
      <w:proofErr w:type="gramEnd"/>
      <w:r w:rsidRPr="003537AF">
        <w:rPr>
          <w:rFonts w:cs="Tahoma"/>
          <w:color w:val="595959" w:themeColor="text1" w:themeTint="A6"/>
          <w:sz w:val="20"/>
          <w:szCs w:val="20"/>
        </w:rPr>
        <w:t>) ferramenta(s) a ser(em) utilizada</w:t>
      </w:r>
      <w:r w:rsidR="003537AF" w:rsidRPr="003537AF">
        <w:rPr>
          <w:rFonts w:cs="Tahoma"/>
          <w:color w:val="595959" w:themeColor="text1" w:themeTint="A6"/>
          <w:sz w:val="20"/>
          <w:szCs w:val="20"/>
        </w:rPr>
        <w:t>(s). E, em terceiro, uma partilha de ex</w:t>
      </w:r>
      <w:r w:rsidR="002D1718">
        <w:rPr>
          <w:rFonts w:cs="Tahoma"/>
          <w:color w:val="595959" w:themeColor="text1" w:themeTint="A6"/>
          <w:sz w:val="20"/>
          <w:szCs w:val="20"/>
        </w:rPr>
        <w:t>periência: esta é uma 2ª versão e, muito provavelmente, outras tantas se seguirão.</w:t>
      </w:r>
    </w:p>
    <w:sectPr w:rsidR="00E86310" w:rsidRPr="003537AF" w:rsidSect="00E8631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6D3" w:rsidRDefault="005E16D3" w:rsidP="001E4BAD">
      <w:pPr>
        <w:spacing w:after="0" w:line="240" w:lineRule="auto"/>
      </w:pPr>
      <w:r>
        <w:separator/>
      </w:r>
    </w:p>
  </w:endnote>
  <w:endnote w:type="continuationSeparator" w:id="0">
    <w:p w:rsidR="005E16D3" w:rsidRDefault="005E16D3" w:rsidP="001E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2B7" w:rsidRDefault="00CF149B">
    <w:pPr>
      <w:pStyle w:val="Rodap"/>
    </w:pPr>
    <w:r>
      <w:rPr>
        <w:noProof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4.2pt;margin-top:-21.4pt;width:417.75pt;height:.05pt;z-index:251660288" o:connectortype="straight" wrapcoords="0 0 0 3 122 3 122 0 0 0" strokecolor="#f2f2f2 [3041]" strokeweight="3pt">
          <v:shadow type="perspective" color="#205867 [1608]" opacity=".5" offset="1pt" offset2="-1pt"/>
          <w10:wrap type="tigh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6D3" w:rsidRDefault="005E16D3" w:rsidP="001E4BAD">
      <w:pPr>
        <w:spacing w:after="0" w:line="240" w:lineRule="auto"/>
      </w:pPr>
      <w:r>
        <w:separator/>
      </w:r>
    </w:p>
  </w:footnote>
  <w:footnote w:type="continuationSeparator" w:id="0">
    <w:p w:rsidR="005E16D3" w:rsidRDefault="005E16D3" w:rsidP="001E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AF" w:rsidRPr="001E4BAD" w:rsidRDefault="00CF149B" w:rsidP="003537AF">
    <w:pPr>
      <w:jc w:val="center"/>
      <w:rPr>
        <w:rFonts w:ascii="Verdana" w:hAnsi="Verdana" w:cs="Tahoma"/>
        <w:color w:val="1F497D" w:themeColor="text2"/>
      </w:rPr>
    </w:pPr>
    <w:r>
      <w:rPr>
        <w:rFonts w:ascii="Verdana" w:hAnsi="Verdana" w:cs="Tahoma"/>
        <w:noProof/>
        <w:color w:val="1F497D" w:themeColor="text2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40.95pt;margin-top:7.35pt;width:89.25pt;height:0;z-index:251659264" o:connectortype="straight" wrapcoords="0 0 0 3 122 3 122 0 0 0" strokecolor="#f2f2f2 [3041]" strokeweight="3pt">
          <v:shadow type="perspective" color="#205867 [1608]" opacity=".5" offset="1pt" offset2="-1pt"/>
          <w10:wrap type="tight"/>
        </v:shape>
      </w:pict>
    </w:r>
    <w:r>
      <w:rPr>
        <w:rFonts w:ascii="Verdana" w:hAnsi="Verdana" w:cs="Tahoma"/>
        <w:noProof/>
        <w:color w:val="1F497D" w:themeColor="text2"/>
        <w:lang w:eastAsia="pt-PT"/>
      </w:rPr>
      <w:pict>
        <v:shape id="_x0000_s2049" type="#_x0000_t32" style="position:absolute;left:0;text-align:left;margin-left:-7.8pt;margin-top:7.35pt;width:89.25pt;height:0;z-index:251658240" o:connectortype="straight" wrapcoords="0 0 0 3 122 3 122 0 0 0" strokecolor="#f2f2f2 [3041]" strokeweight="3pt">
          <v:shadow type="perspective" color="#205867 [1608]" opacity=".5" offset="1pt" offset2="-1pt"/>
          <w10:wrap type="tight"/>
        </v:shape>
      </w:pict>
    </w:r>
    <w:r w:rsidR="003537AF" w:rsidRPr="001E4BAD">
      <w:rPr>
        <w:rFonts w:ascii="Verdana" w:hAnsi="Verdana" w:cs="Tahoma"/>
        <w:color w:val="1F497D" w:themeColor="text2"/>
      </w:rPr>
      <w:t>DIGITAL STORYTELLING PARA FORMAÇÃO</w:t>
    </w:r>
  </w:p>
  <w:p w:rsidR="003537AF" w:rsidRDefault="003537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1E11"/>
    <w:rsid w:val="00057A3B"/>
    <w:rsid w:val="00194A90"/>
    <w:rsid w:val="001E4BAD"/>
    <w:rsid w:val="001E4F6D"/>
    <w:rsid w:val="0022529B"/>
    <w:rsid w:val="00247E0B"/>
    <w:rsid w:val="002B11CB"/>
    <w:rsid w:val="002D1718"/>
    <w:rsid w:val="002E521C"/>
    <w:rsid w:val="002F1B9D"/>
    <w:rsid w:val="003537AF"/>
    <w:rsid w:val="00413169"/>
    <w:rsid w:val="00451DAA"/>
    <w:rsid w:val="0045335C"/>
    <w:rsid w:val="00453444"/>
    <w:rsid w:val="0047632E"/>
    <w:rsid w:val="004B1162"/>
    <w:rsid w:val="0051364B"/>
    <w:rsid w:val="005259F9"/>
    <w:rsid w:val="00527966"/>
    <w:rsid w:val="00556804"/>
    <w:rsid w:val="00576ED7"/>
    <w:rsid w:val="005E16D3"/>
    <w:rsid w:val="006118A6"/>
    <w:rsid w:val="0073211F"/>
    <w:rsid w:val="00754095"/>
    <w:rsid w:val="007A2D3E"/>
    <w:rsid w:val="0081500C"/>
    <w:rsid w:val="00874A4E"/>
    <w:rsid w:val="00930CDC"/>
    <w:rsid w:val="009D42B7"/>
    <w:rsid w:val="00A7459A"/>
    <w:rsid w:val="00A8338B"/>
    <w:rsid w:val="00B475C4"/>
    <w:rsid w:val="00B620F3"/>
    <w:rsid w:val="00B84F16"/>
    <w:rsid w:val="00BE64C0"/>
    <w:rsid w:val="00C21E11"/>
    <w:rsid w:val="00C454CD"/>
    <w:rsid w:val="00C45A1F"/>
    <w:rsid w:val="00C55ACE"/>
    <w:rsid w:val="00C83411"/>
    <w:rsid w:val="00CB6F24"/>
    <w:rsid w:val="00CE57FE"/>
    <w:rsid w:val="00CF149B"/>
    <w:rsid w:val="00DA0FED"/>
    <w:rsid w:val="00DE2524"/>
    <w:rsid w:val="00E23506"/>
    <w:rsid w:val="00E53DC9"/>
    <w:rsid w:val="00E86310"/>
    <w:rsid w:val="00ED1E98"/>
    <w:rsid w:val="00EF3BA4"/>
    <w:rsid w:val="00F13D7B"/>
    <w:rsid w:val="00F33C82"/>
    <w:rsid w:val="00F36743"/>
    <w:rsid w:val="00F51A1F"/>
    <w:rsid w:val="00FE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B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11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1E4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E4BAD"/>
  </w:style>
  <w:style w:type="paragraph" w:styleId="Rodap">
    <w:name w:val="footer"/>
    <w:basedOn w:val="Normal"/>
    <w:link w:val="RodapCarcter"/>
    <w:uiPriority w:val="99"/>
    <w:semiHidden/>
    <w:unhideWhenUsed/>
    <w:rsid w:val="001E4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E4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06493-0C7C-4308-8B91-FAF0E3A7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Ferret</dc:creator>
  <cp:keywords/>
  <dc:description/>
  <cp:lastModifiedBy>Nathalie Ferret</cp:lastModifiedBy>
  <cp:revision>4</cp:revision>
  <dcterms:created xsi:type="dcterms:W3CDTF">2016-07-04T11:35:00Z</dcterms:created>
  <dcterms:modified xsi:type="dcterms:W3CDTF">2016-07-04T12:51:00Z</dcterms:modified>
</cp:coreProperties>
</file>